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555" w:rsidRPr="0000722E" w:rsidRDefault="0070670A" w:rsidP="0000722E">
      <w:pPr>
        <w:spacing w:after="0" w:line="480" w:lineRule="auto"/>
        <w:jc w:val="center"/>
        <w:rPr>
          <w:rFonts w:ascii="Times New Roman" w:hAnsi="Times New Roman" w:cs="Times New Roman"/>
          <w:b/>
          <w:sz w:val="24"/>
          <w:szCs w:val="24"/>
        </w:rPr>
      </w:pPr>
      <w:r w:rsidRPr="0000722E">
        <w:rPr>
          <w:rFonts w:ascii="Times New Roman" w:hAnsi="Times New Roman" w:cs="Times New Roman"/>
          <w:b/>
          <w:sz w:val="24"/>
          <w:szCs w:val="24"/>
        </w:rPr>
        <w:t>TRIBUNALE DI</w:t>
      </w:r>
      <w:r w:rsidR="0000722E">
        <w:rPr>
          <w:rFonts w:ascii="Times New Roman" w:hAnsi="Times New Roman" w:cs="Times New Roman"/>
          <w:b/>
          <w:sz w:val="24"/>
          <w:szCs w:val="24"/>
        </w:rPr>
        <w:t xml:space="preserve"> ASTI</w:t>
      </w:r>
    </w:p>
    <w:p w:rsidR="00133D2D" w:rsidRPr="0000722E" w:rsidRDefault="00133D2D" w:rsidP="0000722E">
      <w:pPr>
        <w:spacing w:after="0" w:line="480" w:lineRule="auto"/>
        <w:jc w:val="center"/>
        <w:rPr>
          <w:rFonts w:ascii="Times New Roman" w:hAnsi="Times New Roman" w:cs="Times New Roman"/>
          <w:b/>
          <w:sz w:val="24"/>
          <w:szCs w:val="24"/>
        </w:rPr>
      </w:pPr>
      <w:r w:rsidRPr="0000722E">
        <w:rPr>
          <w:rFonts w:ascii="Times New Roman" w:hAnsi="Times New Roman" w:cs="Times New Roman"/>
          <w:b/>
          <w:sz w:val="24"/>
          <w:szCs w:val="24"/>
        </w:rPr>
        <w:t>Ufficio Esecuzioni Immobiliari</w:t>
      </w:r>
    </w:p>
    <w:p w:rsidR="00BD196D" w:rsidRPr="0000722E" w:rsidRDefault="0000722E" w:rsidP="0000722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Circolare n. 1</w:t>
      </w:r>
      <w:r w:rsidR="00D64A33" w:rsidRPr="0000722E">
        <w:rPr>
          <w:rFonts w:ascii="Times New Roman" w:hAnsi="Times New Roman" w:cs="Times New Roman"/>
          <w:b/>
          <w:sz w:val="24"/>
          <w:szCs w:val="24"/>
        </w:rPr>
        <w:t xml:space="preserve"> del 2021</w:t>
      </w:r>
      <w:r w:rsidR="00A00C17" w:rsidRPr="0000722E">
        <w:rPr>
          <w:rFonts w:ascii="Times New Roman" w:hAnsi="Times New Roman" w:cs="Times New Roman"/>
          <w:b/>
          <w:sz w:val="24"/>
          <w:szCs w:val="24"/>
        </w:rPr>
        <w:t xml:space="preserve"> – in materia </w:t>
      </w:r>
      <w:r w:rsidR="00BD196D" w:rsidRPr="0000722E">
        <w:rPr>
          <w:rFonts w:ascii="Times New Roman" w:hAnsi="Times New Roman" w:cs="Times New Roman"/>
          <w:b/>
          <w:sz w:val="24"/>
          <w:szCs w:val="24"/>
        </w:rPr>
        <w:t>ripresa dei procedimenti esecutivi aventi ad oggetto l’abitazione principale del debitore a seguito della dichiarazione di incostituzionalità dell’art. 13, comma 14, del decreto-legge 31 dicembre 2020, n. 183 pronunciata con sentenza della Corte Costituzionale n. 128 del 22.6.2021.</w:t>
      </w:r>
    </w:p>
    <w:p w:rsidR="005C1FC4" w:rsidRPr="0000722E" w:rsidRDefault="00A67DAD" w:rsidP="0000722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Si segnala</w:t>
      </w:r>
      <w:bookmarkStart w:id="0" w:name="_GoBack"/>
      <w:bookmarkEnd w:id="0"/>
      <w:r w:rsidR="005C1FC4" w:rsidRPr="0000722E">
        <w:rPr>
          <w:rFonts w:ascii="Times New Roman" w:hAnsi="Times New Roman" w:cs="Times New Roman"/>
          <w:sz w:val="24"/>
          <w:szCs w:val="24"/>
        </w:rPr>
        <w:t xml:space="preserve"> a tutti i soggetti a vario titolo interessati al processo esecutivo che con la sentenza richiamata in epigrafe la Corte Costituzionale ha dichiarato incostituzionale l’art. 13, comma 14 del </w:t>
      </w:r>
      <w:proofErr w:type="spellStart"/>
      <w:r w:rsidR="005C1FC4" w:rsidRPr="0000722E">
        <w:rPr>
          <w:rFonts w:ascii="Times New Roman" w:hAnsi="Times New Roman" w:cs="Times New Roman"/>
          <w:sz w:val="24"/>
          <w:szCs w:val="24"/>
        </w:rPr>
        <w:t>d.l.</w:t>
      </w:r>
      <w:proofErr w:type="spellEnd"/>
      <w:r w:rsidR="005C1FC4" w:rsidRPr="0000722E">
        <w:rPr>
          <w:rFonts w:ascii="Times New Roman" w:hAnsi="Times New Roman" w:cs="Times New Roman"/>
          <w:sz w:val="24"/>
          <w:szCs w:val="24"/>
        </w:rPr>
        <w:t xml:space="preserve"> 183/2020, disposizione che aveva prorogato dal 1.1.2021 al 30.6.2021 la sospensione dei processi esecutivi aventi ad oggetto l’abitazione principale del debitore stabilita per la prima volta con l’art. 54 ter </w:t>
      </w:r>
      <w:proofErr w:type="spellStart"/>
      <w:r w:rsidR="005C1FC4" w:rsidRPr="0000722E">
        <w:rPr>
          <w:rFonts w:ascii="Times New Roman" w:hAnsi="Times New Roman" w:cs="Times New Roman"/>
          <w:sz w:val="24"/>
          <w:szCs w:val="24"/>
        </w:rPr>
        <w:t>d.l.</w:t>
      </w:r>
      <w:proofErr w:type="spellEnd"/>
      <w:r w:rsidR="005C1FC4" w:rsidRPr="0000722E">
        <w:rPr>
          <w:rFonts w:ascii="Times New Roman" w:hAnsi="Times New Roman" w:cs="Times New Roman"/>
          <w:sz w:val="24"/>
          <w:szCs w:val="24"/>
        </w:rPr>
        <w:t xml:space="preserve"> 18/2020.</w:t>
      </w:r>
    </w:p>
    <w:p w:rsidR="00B4795A" w:rsidRPr="0000722E" w:rsidRDefault="00B4795A" w:rsidP="0000722E">
      <w:pPr>
        <w:spacing w:after="0" w:line="480" w:lineRule="auto"/>
        <w:jc w:val="both"/>
        <w:rPr>
          <w:rFonts w:ascii="Times New Roman" w:hAnsi="Times New Roman" w:cs="Times New Roman"/>
          <w:sz w:val="24"/>
          <w:szCs w:val="24"/>
        </w:rPr>
      </w:pPr>
      <w:r w:rsidRPr="0000722E">
        <w:rPr>
          <w:rFonts w:ascii="Times New Roman" w:hAnsi="Times New Roman" w:cs="Times New Roman"/>
          <w:sz w:val="24"/>
          <w:szCs w:val="24"/>
        </w:rPr>
        <w:t>Si ritiene, pertanto, necessario fornire alcune brevi indicazioni interpretative e operative che l’ufficio intende seguire.</w:t>
      </w:r>
    </w:p>
    <w:p w:rsidR="00633AF2" w:rsidRPr="00E26172" w:rsidRDefault="00633AF2" w:rsidP="0000722E">
      <w:pPr>
        <w:spacing w:after="0" w:line="480" w:lineRule="auto"/>
        <w:jc w:val="both"/>
        <w:rPr>
          <w:rFonts w:ascii="Times New Roman" w:hAnsi="Times New Roman" w:cs="Times New Roman"/>
          <w:b/>
          <w:sz w:val="24"/>
          <w:szCs w:val="24"/>
        </w:rPr>
      </w:pPr>
      <w:r w:rsidRPr="0000722E">
        <w:rPr>
          <w:rFonts w:ascii="Times New Roman" w:hAnsi="Times New Roman" w:cs="Times New Roman"/>
          <w:sz w:val="24"/>
          <w:szCs w:val="24"/>
        </w:rPr>
        <w:t>A</w:t>
      </w:r>
      <w:r w:rsidR="00B4795A" w:rsidRPr="0000722E">
        <w:rPr>
          <w:rFonts w:ascii="Times New Roman" w:hAnsi="Times New Roman" w:cs="Times New Roman"/>
          <w:sz w:val="24"/>
          <w:szCs w:val="24"/>
        </w:rPr>
        <w:t xml:space="preserve">i sensi dell’art. 136 </w:t>
      </w:r>
      <w:proofErr w:type="spellStart"/>
      <w:r w:rsidR="00B4795A" w:rsidRPr="0000722E">
        <w:rPr>
          <w:rFonts w:ascii="Times New Roman" w:hAnsi="Times New Roman" w:cs="Times New Roman"/>
          <w:sz w:val="24"/>
          <w:szCs w:val="24"/>
        </w:rPr>
        <w:t>Cost</w:t>
      </w:r>
      <w:proofErr w:type="spellEnd"/>
      <w:r w:rsidR="00E530BB" w:rsidRPr="0000722E">
        <w:rPr>
          <w:rFonts w:ascii="Times New Roman" w:hAnsi="Times New Roman" w:cs="Times New Roman"/>
          <w:sz w:val="24"/>
          <w:szCs w:val="24"/>
        </w:rPr>
        <w:t xml:space="preserve">. </w:t>
      </w:r>
      <w:proofErr w:type="gramStart"/>
      <w:r w:rsidR="00E530BB" w:rsidRPr="0000722E">
        <w:rPr>
          <w:rFonts w:ascii="Times New Roman" w:hAnsi="Times New Roman" w:cs="Times New Roman"/>
          <w:sz w:val="24"/>
          <w:szCs w:val="24"/>
        </w:rPr>
        <w:t>quand</w:t>
      </w:r>
      <w:r w:rsidR="00B4795A" w:rsidRPr="0000722E">
        <w:rPr>
          <w:rFonts w:ascii="Times New Roman" w:hAnsi="Times New Roman" w:cs="Times New Roman"/>
          <w:sz w:val="24"/>
          <w:szCs w:val="24"/>
        </w:rPr>
        <w:t>o</w:t>
      </w:r>
      <w:proofErr w:type="gramEnd"/>
      <w:r w:rsidR="00B4795A" w:rsidRPr="0000722E">
        <w:rPr>
          <w:rFonts w:ascii="Times New Roman" w:hAnsi="Times New Roman" w:cs="Times New Roman"/>
          <w:sz w:val="24"/>
          <w:szCs w:val="24"/>
        </w:rPr>
        <w:t xml:space="preserve"> la Corte Costituzionale dichiara la illegittimità costituzionale di una norma di legge o di un atto avente forza di legge </w:t>
      </w:r>
      <w:r w:rsidR="00B4795A" w:rsidRPr="00E26172">
        <w:rPr>
          <w:rFonts w:ascii="Times New Roman" w:hAnsi="Times New Roman" w:cs="Times New Roman"/>
          <w:b/>
          <w:i/>
          <w:sz w:val="24"/>
          <w:szCs w:val="24"/>
        </w:rPr>
        <w:t>la norma cessa di avere efficacia dal giorno successivo alla pubblicazione della decisione</w:t>
      </w:r>
      <w:r w:rsidR="00B4795A" w:rsidRPr="00E26172">
        <w:rPr>
          <w:rFonts w:ascii="Times New Roman" w:hAnsi="Times New Roman" w:cs="Times New Roman"/>
          <w:b/>
          <w:sz w:val="24"/>
          <w:szCs w:val="24"/>
        </w:rPr>
        <w:t xml:space="preserve">; </w:t>
      </w:r>
      <w:r w:rsidR="00B4795A" w:rsidRPr="0000722E">
        <w:rPr>
          <w:rFonts w:ascii="Times New Roman" w:hAnsi="Times New Roman" w:cs="Times New Roman"/>
          <w:sz w:val="24"/>
          <w:szCs w:val="24"/>
        </w:rPr>
        <w:t>inoltre</w:t>
      </w:r>
      <w:r w:rsidR="002136CD" w:rsidRPr="0000722E">
        <w:rPr>
          <w:rFonts w:ascii="Times New Roman" w:hAnsi="Times New Roman" w:cs="Times New Roman"/>
          <w:sz w:val="24"/>
          <w:szCs w:val="24"/>
        </w:rPr>
        <w:t>,</w:t>
      </w:r>
      <w:r w:rsidR="00B4795A" w:rsidRPr="0000722E">
        <w:rPr>
          <w:rFonts w:ascii="Times New Roman" w:hAnsi="Times New Roman" w:cs="Times New Roman"/>
          <w:sz w:val="24"/>
          <w:szCs w:val="24"/>
        </w:rPr>
        <w:t xml:space="preserve"> ai sensi dell’</w:t>
      </w:r>
      <w:r w:rsidR="002136CD" w:rsidRPr="0000722E">
        <w:rPr>
          <w:rFonts w:ascii="Times New Roman" w:hAnsi="Times New Roman" w:cs="Times New Roman"/>
          <w:sz w:val="24"/>
          <w:szCs w:val="24"/>
        </w:rPr>
        <w:t>art. 30, comma 3 l. 87/</w:t>
      </w:r>
      <w:r w:rsidR="002136CD" w:rsidRPr="00E26172">
        <w:rPr>
          <w:rFonts w:ascii="Times New Roman" w:hAnsi="Times New Roman" w:cs="Times New Roman"/>
          <w:b/>
          <w:sz w:val="24"/>
          <w:szCs w:val="24"/>
        </w:rPr>
        <w:t xml:space="preserve">1953 </w:t>
      </w:r>
      <w:r w:rsidR="002136CD" w:rsidRPr="00E26172">
        <w:rPr>
          <w:rFonts w:ascii="Times New Roman" w:hAnsi="Times New Roman" w:cs="Times New Roman"/>
          <w:b/>
          <w:i/>
          <w:sz w:val="24"/>
          <w:szCs w:val="24"/>
        </w:rPr>
        <w:t>le norme dichiarate incostituzionali non possono avere applicazione dal giorno successivo alla pubblicazione della decisione</w:t>
      </w:r>
      <w:r w:rsidRPr="00E26172">
        <w:rPr>
          <w:rFonts w:ascii="Times New Roman" w:hAnsi="Times New Roman" w:cs="Times New Roman"/>
          <w:b/>
          <w:sz w:val="24"/>
          <w:szCs w:val="24"/>
        </w:rPr>
        <w:t>.</w:t>
      </w:r>
    </w:p>
    <w:p w:rsidR="00B4795A" w:rsidRPr="0000722E" w:rsidRDefault="00633AF2" w:rsidP="0000722E">
      <w:pPr>
        <w:spacing w:after="0" w:line="480" w:lineRule="auto"/>
        <w:jc w:val="both"/>
        <w:rPr>
          <w:rFonts w:ascii="Times New Roman" w:hAnsi="Times New Roman" w:cs="Times New Roman"/>
          <w:sz w:val="24"/>
          <w:szCs w:val="24"/>
        </w:rPr>
      </w:pPr>
      <w:r w:rsidRPr="0000722E">
        <w:rPr>
          <w:rFonts w:ascii="Times New Roman" w:hAnsi="Times New Roman" w:cs="Times New Roman"/>
          <w:sz w:val="24"/>
          <w:szCs w:val="24"/>
        </w:rPr>
        <w:t>Ciò posto – poiché la pronuncia della Corte Costituzionale incide su una disposizione che stava producendo i suoi effetti dal 1.1.2021 e che</w:t>
      </w:r>
      <w:r w:rsidR="00E26172">
        <w:rPr>
          <w:rFonts w:ascii="Times New Roman" w:hAnsi="Times New Roman" w:cs="Times New Roman"/>
          <w:sz w:val="24"/>
          <w:szCs w:val="24"/>
        </w:rPr>
        <w:t>, ora,</w:t>
      </w:r>
      <w:r w:rsidRPr="0000722E">
        <w:rPr>
          <w:rFonts w:ascii="Times New Roman" w:hAnsi="Times New Roman" w:cs="Times New Roman"/>
          <w:sz w:val="24"/>
          <w:szCs w:val="24"/>
        </w:rPr>
        <w:t xml:space="preserve"> è stata espunta dall’ordinamen</w:t>
      </w:r>
      <w:r w:rsidR="00E26172">
        <w:rPr>
          <w:rFonts w:ascii="Times New Roman" w:hAnsi="Times New Roman" w:cs="Times New Roman"/>
          <w:sz w:val="24"/>
          <w:szCs w:val="24"/>
        </w:rPr>
        <w:t>to –</w:t>
      </w:r>
      <w:r w:rsidRPr="0000722E">
        <w:rPr>
          <w:rFonts w:ascii="Times New Roman" w:hAnsi="Times New Roman" w:cs="Times New Roman"/>
          <w:sz w:val="24"/>
          <w:szCs w:val="24"/>
        </w:rPr>
        <w:t xml:space="preserve"> si pone il problema di determinare le sorti di tutti quei processi esecutivi in cui sia stato compiuto l’atto introduttivo (la notifica del pignoramento) e per i quali il creditore procedente non abbia in tutto o in parte proceduto al compimento degli ulteriori atti di impulso nei termini perentori stabiliti dal codice di rito (iscrizione a ruolo, deposito istanza di vendita, deposito documentazione </w:t>
      </w:r>
      <w:proofErr w:type="spellStart"/>
      <w:r w:rsidRPr="0000722E">
        <w:rPr>
          <w:rFonts w:ascii="Times New Roman" w:hAnsi="Times New Roman" w:cs="Times New Roman"/>
          <w:sz w:val="24"/>
          <w:szCs w:val="24"/>
        </w:rPr>
        <w:t>ipocatastale</w:t>
      </w:r>
      <w:proofErr w:type="spellEnd"/>
      <w:r w:rsidRPr="0000722E">
        <w:rPr>
          <w:rFonts w:ascii="Times New Roman" w:hAnsi="Times New Roman" w:cs="Times New Roman"/>
          <w:sz w:val="24"/>
          <w:szCs w:val="24"/>
        </w:rPr>
        <w:t xml:space="preserve"> o relazione notarile).</w:t>
      </w:r>
    </w:p>
    <w:p w:rsidR="0011317A" w:rsidRPr="0000722E" w:rsidRDefault="00633AF2" w:rsidP="0000722E">
      <w:pPr>
        <w:spacing w:after="0" w:line="480" w:lineRule="auto"/>
        <w:jc w:val="both"/>
        <w:rPr>
          <w:rFonts w:ascii="Times New Roman" w:hAnsi="Times New Roman" w:cs="Times New Roman"/>
          <w:b/>
          <w:sz w:val="24"/>
          <w:szCs w:val="24"/>
        </w:rPr>
      </w:pPr>
      <w:r w:rsidRPr="0000722E">
        <w:rPr>
          <w:rFonts w:ascii="Times New Roman" w:hAnsi="Times New Roman" w:cs="Times New Roman"/>
          <w:sz w:val="24"/>
          <w:szCs w:val="24"/>
        </w:rPr>
        <w:lastRenderedPageBreak/>
        <w:t xml:space="preserve">Ritiene questo ufficio, non potendosi far patire ai creditori che hanno attuato la disposizione dichiarata incostituzionale effetti pregiudizievoli, che i termini per i vari incombenti da compiere </w:t>
      </w:r>
      <w:r w:rsidR="008C1098" w:rsidRPr="0000722E">
        <w:rPr>
          <w:rFonts w:ascii="Times New Roman" w:hAnsi="Times New Roman" w:cs="Times New Roman"/>
          <w:b/>
          <w:sz w:val="24"/>
          <w:szCs w:val="24"/>
        </w:rPr>
        <w:t xml:space="preserve">debbano riprendere </w:t>
      </w:r>
      <w:r w:rsidRPr="0000722E">
        <w:rPr>
          <w:rFonts w:ascii="Times New Roman" w:hAnsi="Times New Roman" w:cs="Times New Roman"/>
          <w:b/>
          <w:sz w:val="24"/>
          <w:szCs w:val="24"/>
        </w:rPr>
        <w:t>a decorrere automaticamente da</w:t>
      </w:r>
      <w:r w:rsidR="0011317A" w:rsidRPr="0000722E">
        <w:rPr>
          <w:rFonts w:ascii="Times New Roman" w:hAnsi="Times New Roman" w:cs="Times New Roman"/>
          <w:b/>
          <w:sz w:val="24"/>
          <w:szCs w:val="24"/>
        </w:rPr>
        <w:t>l 23 giugno 2021.</w:t>
      </w:r>
    </w:p>
    <w:p w:rsidR="0011317A" w:rsidRPr="0000722E" w:rsidRDefault="00517A05" w:rsidP="0000722E">
      <w:pPr>
        <w:spacing w:after="0" w:line="480" w:lineRule="auto"/>
        <w:jc w:val="both"/>
        <w:rPr>
          <w:rFonts w:ascii="Times New Roman" w:hAnsi="Times New Roman" w:cs="Times New Roman"/>
          <w:sz w:val="24"/>
          <w:szCs w:val="24"/>
        </w:rPr>
      </w:pPr>
      <w:r w:rsidRPr="0000722E">
        <w:rPr>
          <w:rFonts w:ascii="Times New Roman" w:hAnsi="Times New Roman" w:cs="Times New Roman"/>
          <w:sz w:val="24"/>
          <w:szCs w:val="24"/>
        </w:rPr>
        <w:t xml:space="preserve">E’ opportuno precisare, stante la notevole quantità di istanze che stanno pervenendo all’ufficio e gli indirizzi divergenti della giurisprudenza di merito, </w:t>
      </w:r>
      <w:r w:rsidRPr="00771CA3">
        <w:rPr>
          <w:rFonts w:ascii="Times New Roman" w:hAnsi="Times New Roman" w:cs="Times New Roman"/>
          <w:sz w:val="24"/>
          <w:szCs w:val="24"/>
          <w:u w:val="single"/>
        </w:rPr>
        <w:t xml:space="preserve">che </w:t>
      </w:r>
      <w:r w:rsidRPr="00771CA3">
        <w:rPr>
          <w:rFonts w:ascii="Times New Roman" w:hAnsi="Times New Roman" w:cs="Times New Roman"/>
          <w:b/>
          <w:sz w:val="24"/>
          <w:szCs w:val="24"/>
          <w:u w:val="single"/>
        </w:rPr>
        <w:t>i processi esecutivi si intendono tutti automaticamente ripresi a decorrere dalla predetta data del 23 giugno 2021</w:t>
      </w:r>
      <w:r w:rsidRPr="00771CA3">
        <w:rPr>
          <w:rFonts w:ascii="Times New Roman" w:hAnsi="Times New Roman" w:cs="Times New Roman"/>
          <w:sz w:val="24"/>
          <w:szCs w:val="24"/>
          <w:u w:val="single"/>
        </w:rPr>
        <w:t xml:space="preserve"> </w:t>
      </w:r>
      <w:r w:rsidRPr="00771CA3">
        <w:rPr>
          <w:rFonts w:ascii="Times New Roman" w:hAnsi="Times New Roman" w:cs="Times New Roman"/>
          <w:b/>
          <w:sz w:val="24"/>
          <w:szCs w:val="24"/>
          <w:u w:val="single"/>
        </w:rPr>
        <w:t xml:space="preserve">senza necessità per i creditori o per altre parti di dover presentare istanza di riassunzione del processo ai sensi dell’art. 627 </w:t>
      </w:r>
      <w:proofErr w:type="spellStart"/>
      <w:r w:rsidRPr="00771CA3">
        <w:rPr>
          <w:rFonts w:ascii="Times New Roman" w:hAnsi="Times New Roman" w:cs="Times New Roman"/>
          <w:b/>
          <w:sz w:val="24"/>
          <w:szCs w:val="24"/>
          <w:u w:val="single"/>
        </w:rPr>
        <w:t>c.p.c.</w:t>
      </w:r>
      <w:proofErr w:type="spellEnd"/>
      <w:r w:rsidRPr="00771CA3">
        <w:rPr>
          <w:rFonts w:ascii="Times New Roman" w:hAnsi="Times New Roman" w:cs="Times New Roman"/>
          <w:sz w:val="24"/>
          <w:szCs w:val="24"/>
          <w:u w:val="single"/>
        </w:rPr>
        <w:t>:</w:t>
      </w:r>
      <w:r w:rsidRPr="0000722E">
        <w:rPr>
          <w:rFonts w:ascii="Times New Roman" w:hAnsi="Times New Roman" w:cs="Times New Roman"/>
          <w:sz w:val="24"/>
          <w:szCs w:val="24"/>
        </w:rPr>
        <w:t xml:space="preserve"> in tal senso, </w:t>
      </w:r>
      <w:r w:rsidRPr="00BC60C2">
        <w:rPr>
          <w:rFonts w:ascii="Times New Roman" w:hAnsi="Times New Roman" w:cs="Times New Roman"/>
          <w:sz w:val="24"/>
          <w:szCs w:val="24"/>
          <w:u w:val="single"/>
        </w:rPr>
        <w:t xml:space="preserve">si deve considerare la sospensione temporanea stabilita </w:t>
      </w:r>
      <w:r w:rsidRPr="00BC60C2">
        <w:rPr>
          <w:rFonts w:ascii="Times New Roman" w:hAnsi="Times New Roman" w:cs="Times New Roman"/>
          <w:i/>
          <w:sz w:val="24"/>
          <w:szCs w:val="24"/>
          <w:u w:val="single"/>
        </w:rPr>
        <w:t xml:space="preserve">ex </w:t>
      </w:r>
      <w:proofErr w:type="spellStart"/>
      <w:r w:rsidRPr="00BC60C2">
        <w:rPr>
          <w:rFonts w:ascii="Times New Roman" w:hAnsi="Times New Roman" w:cs="Times New Roman"/>
          <w:i/>
          <w:sz w:val="24"/>
          <w:szCs w:val="24"/>
          <w:u w:val="single"/>
        </w:rPr>
        <w:t>lege</w:t>
      </w:r>
      <w:proofErr w:type="spellEnd"/>
      <w:r w:rsidRPr="00BC60C2">
        <w:rPr>
          <w:rFonts w:ascii="Times New Roman" w:hAnsi="Times New Roman" w:cs="Times New Roman"/>
          <w:i/>
          <w:sz w:val="24"/>
          <w:szCs w:val="24"/>
          <w:u w:val="single"/>
        </w:rPr>
        <w:t xml:space="preserve"> </w:t>
      </w:r>
      <w:r w:rsidRPr="00BC60C2">
        <w:rPr>
          <w:rFonts w:ascii="Times New Roman" w:hAnsi="Times New Roman" w:cs="Times New Roman"/>
          <w:sz w:val="24"/>
          <w:szCs w:val="24"/>
          <w:u w:val="single"/>
        </w:rPr>
        <w:t>del tutto assimilabile alla sospensione feriale,</w:t>
      </w:r>
      <w:r w:rsidRPr="0000722E">
        <w:rPr>
          <w:rFonts w:ascii="Times New Roman" w:hAnsi="Times New Roman" w:cs="Times New Roman"/>
          <w:sz w:val="24"/>
          <w:szCs w:val="24"/>
        </w:rPr>
        <w:t xml:space="preserve"> sicché essa cessa automaticamente e senza necessità di impulso alcuno al momento del decorso del tempo (o</w:t>
      </w:r>
      <w:r w:rsidR="007D6CBE" w:rsidRPr="0000722E">
        <w:rPr>
          <w:rFonts w:ascii="Times New Roman" w:hAnsi="Times New Roman" w:cs="Times New Roman"/>
          <w:sz w:val="24"/>
          <w:szCs w:val="24"/>
        </w:rPr>
        <w:t>,</w:t>
      </w:r>
      <w:r w:rsidRPr="0000722E">
        <w:rPr>
          <w:rFonts w:ascii="Times New Roman" w:hAnsi="Times New Roman" w:cs="Times New Roman"/>
          <w:sz w:val="24"/>
          <w:szCs w:val="24"/>
        </w:rPr>
        <w:t xml:space="preserve"> in questo caso, per effetto della declaratoria di incostituzionalità della norma che aveva prorogato il periodo di sospensione).</w:t>
      </w:r>
    </w:p>
    <w:p w:rsidR="003B3A07" w:rsidRPr="0000722E" w:rsidRDefault="003B3A07" w:rsidP="0000722E">
      <w:pPr>
        <w:spacing w:after="0" w:line="480" w:lineRule="auto"/>
        <w:jc w:val="both"/>
        <w:rPr>
          <w:rFonts w:ascii="Times New Roman" w:hAnsi="Times New Roman" w:cs="Times New Roman"/>
          <w:sz w:val="24"/>
          <w:szCs w:val="24"/>
        </w:rPr>
      </w:pPr>
      <w:r w:rsidRPr="0000722E">
        <w:rPr>
          <w:rFonts w:ascii="Times New Roman" w:hAnsi="Times New Roman" w:cs="Times New Roman"/>
          <w:sz w:val="24"/>
          <w:szCs w:val="24"/>
        </w:rPr>
        <w:t>Al riguardo, pertanto, si forniscono le seguenti istruzioni:</w:t>
      </w:r>
    </w:p>
    <w:p w:rsidR="00AE0D00" w:rsidRPr="0000722E" w:rsidRDefault="003B3A07" w:rsidP="00AE0D00">
      <w:pPr>
        <w:spacing w:after="0" w:line="480" w:lineRule="auto"/>
        <w:jc w:val="both"/>
        <w:rPr>
          <w:rFonts w:ascii="Times New Roman" w:hAnsi="Times New Roman" w:cs="Times New Roman"/>
          <w:sz w:val="24"/>
          <w:szCs w:val="24"/>
        </w:rPr>
      </w:pPr>
      <w:r w:rsidRPr="0000722E">
        <w:rPr>
          <w:rFonts w:ascii="Times New Roman" w:hAnsi="Times New Roman" w:cs="Times New Roman"/>
          <w:sz w:val="24"/>
          <w:szCs w:val="24"/>
        </w:rPr>
        <w:t>a)</w:t>
      </w:r>
      <w:r w:rsidR="00AE0D00">
        <w:rPr>
          <w:rFonts w:ascii="Times New Roman" w:hAnsi="Times New Roman" w:cs="Times New Roman"/>
          <w:sz w:val="24"/>
          <w:szCs w:val="24"/>
        </w:rPr>
        <w:t xml:space="preserve"> </w:t>
      </w:r>
      <w:r w:rsidR="00AE0D00" w:rsidRPr="0000722E">
        <w:rPr>
          <w:rFonts w:ascii="Times New Roman" w:hAnsi="Times New Roman" w:cs="Times New Roman"/>
          <w:sz w:val="24"/>
          <w:szCs w:val="24"/>
        </w:rPr>
        <w:t xml:space="preserve">gli esperti stimatori </w:t>
      </w:r>
      <w:r w:rsidR="00AE0D00">
        <w:rPr>
          <w:rFonts w:ascii="Times New Roman" w:hAnsi="Times New Roman" w:cs="Times New Roman"/>
          <w:sz w:val="24"/>
          <w:szCs w:val="24"/>
        </w:rPr>
        <w:t>dovranno</w:t>
      </w:r>
      <w:r w:rsidR="00AE0D00" w:rsidRPr="0000722E">
        <w:rPr>
          <w:rFonts w:ascii="Times New Roman" w:hAnsi="Times New Roman" w:cs="Times New Roman"/>
          <w:sz w:val="24"/>
          <w:szCs w:val="24"/>
        </w:rPr>
        <w:t xml:space="preserve"> concordare al più presto una data di accesso negli immobili adibiti ad abitazione principale del debitore al fine di redigere la perizia in data utile per disporre la vendita all’udienza già fissata</w:t>
      </w:r>
      <w:r w:rsidR="00AE0D00">
        <w:rPr>
          <w:rFonts w:ascii="Times New Roman" w:hAnsi="Times New Roman" w:cs="Times New Roman"/>
          <w:sz w:val="24"/>
          <w:szCs w:val="24"/>
        </w:rPr>
        <w:t>. Ove ciò non risul</w:t>
      </w:r>
      <w:r w:rsidR="00E6763D">
        <w:rPr>
          <w:rFonts w:ascii="Times New Roman" w:hAnsi="Times New Roman" w:cs="Times New Roman"/>
          <w:sz w:val="24"/>
          <w:szCs w:val="24"/>
        </w:rPr>
        <w:t>ti possibile, i CTU</w:t>
      </w:r>
      <w:r w:rsidR="00AE0D00">
        <w:rPr>
          <w:rFonts w:ascii="Times New Roman" w:hAnsi="Times New Roman" w:cs="Times New Roman"/>
          <w:sz w:val="24"/>
          <w:szCs w:val="24"/>
        </w:rPr>
        <w:t xml:space="preserve"> dovranno presentare prontamente al </w:t>
      </w:r>
      <w:proofErr w:type="spellStart"/>
      <w:r w:rsidR="00AE0D00">
        <w:rPr>
          <w:rFonts w:ascii="Times New Roman" w:hAnsi="Times New Roman" w:cs="Times New Roman"/>
          <w:sz w:val="24"/>
          <w:szCs w:val="24"/>
        </w:rPr>
        <w:t>g.e</w:t>
      </w:r>
      <w:proofErr w:type="spellEnd"/>
      <w:r w:rsidR="00AE0D00">
        <w:rPr>
          <w:rFonts w:ascii="Times New Roman" w:hAnsi="Times New Roman" w:cs="Times New Roman"/>
          <w:sz w:val="24"/>
          <w:szCs w:val="24"/>
        </w:rPr>
        <w:t xml:space="preserve">. un’istanza di proroga e procedere, nel più breve tempo possibile, a ultimare le operazioni peritali al fine di consentire la fissazione di una nuova udienza di vendita </w:t>
      </w:r>
      <w:r w:rsidR="00AE0D00" w:rsidRPr="0000722E">
        <w:rPr>
          <w:rFonts w:ascii="Times New Roman" w:hAnsi="Times New Roman" w:cs="Times New Roman"/>
          <w:sz w:val="24"/>
          <w:szCs w:val="24"/>
        </w:rPr>
        <w:t>(</w:t>
      </w:r>
      <w:r w:rsidR="00AE0D00" w:rsidRPr="0000722E">
        <w:rPr>
          <w:rFonts w:ascii="Times New Roman" w:hAnsi="Times New Roman" w:cs="Times New Roman"/>
          <w:sz w:val="24"/>
          <w:szCs w:val="24"/>
          <w:u w:val="single"/>
        </w:rPr>
        <w:t>sul punto, pare opportuno richiamare gli esperti stimatori al rispetto dei tempi per il deposito delle relazioni e di evitare per quanto possibile, stante il carico dei ruoli, che si debba rinviare l’udienza per disporre la vendita per il mancato deposito della CTU, in quanto ciò comporta un notevole allungamento del tempo di durata delle procedure esecutive. La puntualità nel deposito della stima è inoltre un elemento che l’ufficio valuta - e che valuterà sempre con maggiore attenzione - per il conferimento degli incarichi</w:t>
      </w:r>
      <w:r w:rsidR="00AE0D00" w:rsidRPr="0000722E">
        <w:rPr>
          <w:rFonts w:ascii="Times New Roman" w:hAnsi="Times New Roman" w:cs="Times New Roman"/>
          <w:sz w:val="24"/>
          <w:szCs w:val="24"/>
        </w:rPr>
        <w:t>).</w:t>
      </w:r>
    </w:p>
    <w:p w:rsidR="003B3A07" w:rsidRPr="0000722E" w:rsidRDefault="003B3A07" w:rsidP="0000722E">
      <w:pPr>
        <w:spacing w:after="0" w:line="480" w:lineRule="auto"/>
        <w:jc w:val="both"/>
        <w:rPr>
          <w:rFonts w:ascii="Times New Roman" w:hAnsi="Times New Roman" w:cs="Times New Roman"/>
          <w:sz w:val="24"/>
          <w:szCs w:val="24"/>
        </w:rPr>
      </w:pPr>
      <w:r w:rsidRPr="0000722E">
        <w:rPr>
          <w:rFonts w:ascii="Times New Roman" w:hAnsi="Times New Roman" w:cs="Times New Roman"/>
          <w:sz w:val="24"/>
          <w:szCs w:val="24"/>
        </w:rPr>
        <w:t>b) i delegati dovranno senza indugio fissare la data della prossima vendita in quan</w:t>
      </w:r>
      <w:r w:rsidR="00EC5504" w:rsidRPr="0000722E">
        <w:rPr>
          <w:rFonts w:ascii="Times New Roman" w:hAnsi="Times New Roman" w:cs="Times New Roman"/>
          <w:sz w:val="24"/>
          <w:szCs w:val="24"/>
        </w:rPr>
        <w:t xml:space="preserve">to dal 23 giugno 2021 sono </w:t>
      </w:r>
      <w:r w:rsidRPr="0000722E">
        <w:rPr>
          <w:rFonts w:ascii="Times New Roman" w:hAnsi="Times New Roman" w:cs="Times New Roman"/>
          <w:sz w:val="24"/>
          <w:szCs w:val="24"/>
        </w:rPr>
        <w:t xml:space="preserve">anche </w:t>
      </w:r>
      <w:r w:rsidR="00EC5504" w:rsidRPr="0000722E">
        <w:rPr>
          <w:rFonts w:ascii="Times New Roman" w:hAnsi="Times New Roman" w:cs="Times New Roman"/>
          <w:sz w:val="24"/>
          <w:szCs w:val="24"/>
        </w:rPr>
        <w:t xml:space="preserve">ripresi </w:t>
      </w:r>
      <w:r w:rsidRPr="0000722E">
        <w:rPr>
          <w:rFonts w:ascii="Times New Roman" w:hAnsi="Times New Roman" w:cs="Times New Roman"/>
          <w:sz w:val="24"/>
          <w:szCs w:val="24"/>
        </w:rPr>
        <w:t>a decorrere i termini per valutare la prontezza nello svolgimento dei tentativi di vendita, evitando ‘tempi morti’ tra un tentativo e l’</w:t>
      </w:r>
      <w:r w:rsidR="00DD0797" w:rsidRPr="0000722E">
        <w:rPr>
          <w:rFonts w:ascii="Times New Roman" w:hAnsi="Times New Roman" w:cs="Times New Roman"/>
          <w:sz w:val="24"/>
          <w:szCs w:val="24"/>
        </w:rPr>
        <w:t>altro (</w:t>
      </w:r>
      <w:r w:rsidR="00DD0797" w:rsidRPr="0000722E">
        <w:rPr>
          <w:rFonts w:ascii="Times New Roman" w:hAnsi="Times New Roman" w:cs="Times New Roman"/>
          <w:sz w:val="24"/>
          <w:szCs w:val="24"/>
          <w:u w:val="single"/>
        </w:rPr>
        <w:t xml:space="preserve">sul punto, pare opportuno precisare che l’ufficio considera necessario che si svolgano ogni anno non meno di quattro tentativi di vendita e </w:t>
      </w:r>
      <w:r w:rsidR="00DD0797" w:rsidRPr="0000722E">
        <w:rPr>
          <w:rFonts w:ascii="Times New Roman" w:hAnsi="Times New Roman" w:cs="Times New Roman"/>
          <w:sz w:val="24"/>
          <w:szCs w:val="24"/>
          <w:u w:val="single"/>
        </w:rPr>
        <w:lastRenderedPageBreak/>
        <w:t xml:space="preserve">che il tentativo successivo a quello in tutto o in parte infruttuoso venga fissato con provvedimento da adottarsi il giorno immeditatamente </w:t>
      </w:r>
      <w:r w:rsidR="00F52E3D" w:rsidRPr="0000722E">
        <w:rPr>
          <w:rFonts w:ascii="Times New Roman" w:hAnsi="Times New Roman" w:cs="Times New Roman"/>
          <w:sz w:val="24"/>
          <w:szCs w:val="24"/>
          <w:u w:val="single"/>
        </w:rPr>
        <w:t>successivo al tentativo espletato</w:t>
      </w:r>
      <w:r w:rsidR="00DD0797" w:rsidRPr="0000722E">
        <w:rPr>
          <w:rFonts w:ascii="Times New Roman" w:hAnsi="Times New Roman" w:cs="Times New Roman"/>
          <w:sz w:val="24"/>
          <w:szCs w:val="24"/>
        </w:rPr>
        <w:t>).</w:t>
      </w:r>
    </w:p>
    <w:p w:rsidR="00107DD5" w:rsidRPr="0000722E" w:rsidRDefault="00107DD5" w:rsidP="0000722E">
      <w:pPr>
        <w:spacing w:after="0" w:line="480" w:lineRule="auto"/>
        <w:jc w:val="both"/>
        <w:rPr>
          <w:rFonts w:ascii="Times New Roman" w:hAnsi="Times New Roman" w:cs="Times New Roman"/>
          <w:sz w:val="24"/>
          <w:szCs w:val="24"/>
        </w:rPr>
      </w:pPr>
      <w:r w:rsidRPr="0000722E">
        <w:rPr>
          <w:rFonts w:ascii="Times New Roman" w:hAnsi="Times New Roman" w:cs="Times New Roman"/>
          <w:sz w:val="24"/>
          <w:szCs w:val="24"/>
        </w:rPr>
        <w:t>Si dispone che a cura della Cancelleria la presente circolare venga trasmessa al Presidente del Tribunale, all’Ordin</w:t>
      </w:r>
      <w:r w:rsidR="008624B0" w:rsidRPr="0000722E">
        <w:rPr>
          <w:rFonts w:ascii="Times New Roman" w:hAnsi="Times New Roman" w:cs="Times New Roman"/>
          <w:sz w:val="24"/>
          <w:szCs w:val="24"/>
        </w:rPr>
        <w:t>e degli Avvocati, dei C</w:t>
      </w:r>
      <w:r w:rsidRPr="0000722E">
        <w:rPr>
          <w:rFonts w:ascii="Times New Roman" w:hAnsi="Times New Roman" w:cs="Times New Roman"/>
          <w:sz w:val="24"/>
          <w:szCs w:val="24"/>
        </w:rPr>
        <w:t>ommer</w:t>
      </w:r>
      <w:r w:rsidR="008624B0" w:rsidRPr="0000722E">
        <w:rPr>
          <w:rFonts w:ascii="Times New Roman" w:hAnsi="Times New Roman" w:cs="Times New Roman"/>
          <w:sz w:val="24"/>
          <w:szCs w:val="24"/>
        </w:rPr>
        <w:t xml:space="preserve">cialisti e </w:t>
      </w:r>
      <w:r w:rsidR="00D51791" w:rsidRPr="0000722E">
        <w:rPr>
          <w:rFonts w:ascii="Times New Roman" w:hAnsi="Times New Roman" w:cs="Times New Roman"/>
          <w:sz w:val="24"/>
          <w:szCs w:val="24"/>
        </w:rPr>
        <w:t xml:space="preserve">al Consiglio Notarile, con </w:t>
      </w:r>
      <w:r w:rsidR="00A22DAD">
        <w:rPr>
          <w:rFonts w:ascii="Times New Roman" w:hAnsi="Times New Roman" w:cs="Times New Roman"/>
          <w:sz w:val="24"/>
          <w:szCs w:val="24"/>
        </w:rPr>
        <w:t>la raccomandazione di darle la massima diffusione tra i</w:t>
      </w:r>
      <w:r w:rsidR="00D51791" w:rsidRPr="0000722E">
        <w:rPr>
          <w:rFonts w:ascii="Times New Roman" w:hAnsi="Times New Roman" w:cs="Times New Roman"/>
          <w:sz w:val="24"/>
          <w:szCs w:val="24"/>
        </w:rPr>
        <w:t xml:space="preserve"> profe</w:t>
      </w:r>
      <w:r w:rsidR="00E6763D">
        <w:rPr>
          <w:rFonts w:ascii="Times New Roman" w:hAnsi="Times New Roman" w:cs="Times New Roman"/>
          <w:sz w:val="24"/>
          <w:szCs w:val="24"/>
        </w:rPr>
        <w:t>ssionisti delegati alle vendite;</w:t>
      </w:r>
      <w:r w:rsidR="009C59DE" w:rsidRPr="0000722E">
        <w:rPr>
          <w:rFonts w:ascii="Times New Roman" w:hAnsi="Times New Roman" w:cs="Times New Roman"/>
          <w:sz w:val="24"/>
          <w:szCs w:val="24"/>
        </w:rPr>
        <w:t xml:space="preserve"> </w:t>
      </w:r>
      <w:r w:rsidR="00E6763D">
        <w:rPr>
          <w:rFonts w:ascii="Times New Roman" w:hAnsi="Times New Roman" w:cs="Times New Roman"/>
          <w:sz w:val="24"/>
          <w:szCs w:val="24"/>
        </w:rPr>
        <w:t>a</w:t>
      </w:r>
      <w:r w:rsidR="00A22DAD">
        <w:rPr>
          <w:rFonts w:ascii="Times New Roman" w:hAnsi="Times New Roman" w:cs="Times New Roman"/>
          <w:sz w:val="24"/>
          <w:szCs w:val="24"/>
        </w:rPr>
        <w:t>l personale dell’IVG e</w:t>
      </w:r>
      <w:r w:rsidR="00E6763D">
        <w:rPr>
          <w:rFonts w:ascii="Times New Roman" w:hAnsi="Times New Roman" w:cs="Times New Roman"/>
          <w:sz w:val="24"/>
          <w:szCs w:val="24"/>
        </w:rPr>
        <w:t>d</w:t>
      </w:r>
      <w:r w:rsidR="00A22DAD">
        <w:rPr>
          <w:rFonts w:ascii="Times New Roman" w:hAnsi="Times New Roman" w:cs="Times New Roman"/>
          <w:sz w:val="24"/>
          <w:szCs w:val="24"/>
        </w:rPr>
        <w:t xml:space="preserve"> </w:t>
      </w:r>
      <w:r w:rsidR="00E6763D">
        <w:rPr>
          <w:rFonts w:ascii="Times New Roman" w:hAnsi="Times New Roman" w:cs="Times New Roman"/>
          <w:sz w:val="24"/>
          <w:szCs w:val="24"/>
        </w:rPr>
        <w:t>a</w:t>
      </w:r>
      <w:r w:rsidR="00A22DAD">
        <w:rPr>
          <w:rFonts w:ascii="Times New Roman" w:hAnsi="Times New Roman" w:cs="Times New Roman"/>
          <w:sz w:val="24"/>
          <w:szCs w:val="24"/>
        </w:rPr>
        <w:t xml:space="preserve">i </w:t>
      </w:r>
      <w:r w:rsidR="009C59DE" w:rsidRPr="0000722E">
        <w:rPr>
          <w:rFonts w:ascii="Times New Roman" w:hAnsi="Times New Roman" w:cs="Times New Roman"/>
          <w:sz w:val="24"/>
          <w:szCs w:val="24"/>
        </w:rPr>
        <w:t>Consigli dell’</w:t>
      </w:r>
      <w:r w:rsidR="004D52D7" w:rsidRPr="0000722E">
        <w:rPr>
          <w:rFonts w:ascii="Times New Roman" w:hAnsi="Times New Roman" w:cs="Times New Roman"/>
          <w:sz w:val="24"/>
          <w:szCs w:val="24"/>
        </w:rPr>
        <w:t xml:space="preserve">Ordine degli Ingegneri, </w:t>
      </w:r>
      <w:r w:rsidR="009C59DE" w:rsidRPr="0000722E">
        <w:rPr>
          <w:rFonts w:ascii="Times New Roman" w:hAnsi="Times New Roman" w:cs="Times New Roman"/>
          <w:sz w:val="24"/>
          <w:szCs w:val="24"/>
        </w:rPr>
        <w:t>Architetti, Agronomi</w:t>
      </w:r>
      <w:r w:rsidR="00DA6887">
        <w:rPr>
          <w:rFonts w:ascii="Times New Roman" w:hAnsi="Times New Roman" w:cs="Times New Roman"/>
          <w:sz w:val="24"/>
          <w:szCs w:val="24"/>
        </w:rPr>
        <w:t>, Geologi</w:t>
      </w:r>
      <w:r w:rsidR="009C59DE" w:rsidRPr="0000722E">
        <w:rPr>
          <w:rFonts w:ascii="Times New Roman" w:hAnsi="Times New Roman" w:cs="Times New Roman"/>
          <w:sz w:val="24"/>
          <w:szCs w:val="24"/>
        </w:rPr>
        <w:t xml:space="preserve"> e Geometri</w:t>
      </w:r>
      <w:r w:rsidR="00E6763D">
        <w:rPr>
          <w:rFonts w:ascii="Times New Roman" w:hAnsi="Times New Roman" w:cs="Times New Roman"/>
          <w:sz w:val="24"/>
          <w:szCs w:val="24"/>
        </w:rPr>
        <w:t>,</w:t>
      </w:r>
      <w:r w:rsidR="009C59DE" w:rsidRPr="0000722E">
        <w:rPr>
          <w:rFonts w:ascii="Times New Roman" w:hAnsi="Times New Roman" w:cs="Times New Roman"/>
          <w:sz w:val="24"/>
          <w:szCs w:val="24"/>
        </w:rPr>
        <w:t xml:space="preserve"> </w:t>
      </w:r>
      <w:r w:rsidR="00DA6887">
        <w:rPr>
          <w:rFonts w:ascii="Times New Roman" w:hAnsi="Times New Roman" w:cs="Times New Roman"/>
          <w:sz w:val="24"/>
          <w:szCs w:val="24"/>
        </w:rPr>
        <w:t xml:space="preserve">ai quali si domanda formalmente di curare la pubblicità del presente provvedimento tra i propri </w:t>
      </w:r>
      <w:r w:rsidR="009C59DE" w:rsidRPr="0000722E">
        <w:rPr>
          <w:rFonts w:ascii="Times New Roman" w:hAnsi="Times New Roman" w:cs="Times New Roman"/>
          <w:sz w:val="24"/>
          <w:szCs w:val="24"/>
        </w:rPr>
        <w:t>is</w:t>
      </w:r>
      <w:r w:rsidR="004D52D7" w:rsidRPr="0000722E">
        <w:rPr>
          <w:rFonts w:ascii="Times New Roman" w:hAnsi="Times New Roman" w:cs="Times New Roman"/>
          <w:sz w:val="24"/>
          <w:szCs w:val="24"/>
        </w:rPr>
        <w:t>critti.</w:t>
      </w:r>
    </w:p>
    <w:p w:rsidR="002F47B2" w:rsidRPr="0000722E" w:rsidRDefault="00E6763D" w:rsidP="0000722E">
      <w:pPr>
        <w:spacing w:after="0" w:line="480" w:lineRule="auto"/>
        <w:ind w:firstLine="348"/>
        <w:jc w:val="both"/>
        <w:rPr>
          <w:rFonts w:ascii="Times New Roman" w:hAnsi="Times New Roman" w:cs="Times New Roman"/>
          <w:sz w:val="24"/>
          <w:szCs w:val="24"/>
        </w:rPr>
      </w:pPr>
      <w:r>
        <w:rPr>
          <w:rFonts w:ascii="Times New Roman" w:hAnsi="Times New Roman" w:cs="Times New Roman"/>
          <w:sz w:val="24"/>
          <w:szCs w:val="24"/>
        </w:rPr>
        <w:t>Asti, 30</w:t>
      </w:r>
      <w:r w:rsidR="00630F23" w:rsidRPr="0000722E">
        <w:rPr>
          <w:rFonts w:ascii="Times New Roman" w:hAnsi="Times New Roman" w:cs="Times New Roman"/>
          <w:sz w:val="24"/>
          <w:szCs w:val="24"/>
        </w:rPr>
        <w:t xml:space="preserve"> giugno 2021.</w:t>
      </w:r>
    </w:p>
    <w:p w:rsidR="002F47B2" w:rsidRPr="0000722E" w:rsidRDefault="00107DD5" w:rsidP="0000722E">
      <w:pPr>
        <w:spacing w:after="0" w:line="480" w:lineRule="auto"/>
        <w:ind w:firstLine="708"/>
        <w:jc w:val="center"/>
        <w:rPr>
          <w:rFonts w:ascii="Times New Roman" w:hAnsi="Times New Roman" w:cs="Times New Roman"/>
          <w:sz w:val="24"/>
          <w:szCs w:val="24"/>
        </w:rPr>
      </w:pPr>
      <w:r w:rsidRPr="0000722E">
        <w:rPr>
          <w:rFonts w:ascii="Times New Roman" w:hAnsi="Times New Roman" w:cs="Times New Roman"/>
          <w:sz w:val="24"/>
          <w:szCs w:val="24"/>
        </w:rPr>
        <w:t>I Giudici</w:t>
      </w:r>
      <w:r w:rsidR="002F47B2" w:rsidRPr="0000722E">
        <w:rPr>
          <w:rFonts w:ascii="Times New Roman" w:hAnsi="Times New Roman" w:cs="Times New Roman"/>
          <w:sz w:val="24"/>
          <w:szCs w:val="24"/>
        </w:rPr>
        <w:t xml:space="preserve"> de</w:t>
      </w:r>
      <w:r w:rsidRPr="0000722E">
        <w:rPr>
          <w:rFonts w:ascii="Times New Roman" w:hAnsi="Times New Roman" w:cs="Times New Roman"/>
          <w:sz w:val="24"/>
          <w:szCs w:val="24"/>
        </w:rPr>
        <w:t>ll’Esecuzione</w:t>
      </w:r>
    </w:p>
    <w:p w:rsidR="00107DD5" w:rsidRPr="0000722E" w:rsidRDefault="00DA6887" w:rsidP="0000722E">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dott. Giuseppe Amoroso</w:t>
      </w:r>
      <w:r w:rsidR="00107DD5" w:rsidRPr="0000722E">
        <w:rPr>
          <w:rFonts w:ascii="Times New Roman" w:hAnsi="Times New Roman" w:cs="Times New Roman"/>
          <w:sz w:val="24"/>
          <w:szCs w:val="24"/>
        </w:rPr>
        <w:t xml:space="preserve">                                                       dott. </w:t>
      </w:r>
      <w:r>
        <w:rPr>
          <w:rFonts w:ascii="Times New Roman" w:hAnsi="Times New Roman" w:cs="Times New Roman"/>
          <w:sz w:val="24"/>
          <w:szCs w:val="24"/>
        </w:rPr>
        <w:t>Pasquale Pe</w:t>
      </w:r>
      <w:r w:rsidR="00583D3E">
        <w:rPr>
          <w:rFonts w:ascii="Times New Roman" w:hAnsi="Times New Roman" w:cs="Times New Roman"/>
          <w:sz w:val="24"/>
          <w:szCs w:val="24"/>
        </w:rPr>
        <w:t>r</w:t>
      </w:r>
      <w:r>
        <w:rPr>
          <w:rFonts w:ascii="Times New Roman" w:hAnsi="Times New Roman" w:cs="Times New Roman"/>
          <w:sz w:val="24"/>
          <w:szCs w:val="24"/>
        </w:rPr>
        <w:t>fetti</w:t>
      </w:r>
    </w:p>
    <w:p w:rsidR="002F47B2" w:rsidRDefault="002F47B2" w:rsidP="0000722E">
      <w:pPr>
        <w:spacing w:after="0" w:line="480" w:lineRule="auto"/>
        <w:ind w:firstLine="348"/>
        <w:jc w:val="both"/>
        <w:rPr>
          <w:rFonts w:ascii="Times New Roman" w:hAnsi="Times New Roman" w:cs="Times New Roman"/>
          <w:sz w:val="24"/>
        </w:rPr>
      </w:pPr>
      <w:r w:rsidRPr="0000722E">
        <w:rPr>
          <w:rFonts w:ascii="Times New Roman" w:hAnsi="Times New Roman" w:cs="Times New Roman"/>
          <w:sz w:val="24"/>
          <w:szCs w:val="24"/>
        </w:rPr>
        <w:tab/>
      </w:r>
      <w:r w:rsidRPr="0000722E">
        <w:rPr>
          <w:rFonts w:ascii="Times New Roman" w:hAnsi="Times New Roman" w:cs="Times New Roman"/>
          <w:sz w:val="24"/>
          <w:szCs w:val="24"/>
        </w:rPr>
        <w:tab/>
      </w:r>
      <w:r w:rsidRPr="0000722E">
        <w:rPr>
          <w:rFonts w:ascii="Times New Roman" w:hAnsi="Times New Roman" w:cs="Times New Roman"/>
          <w:sz w:val="24"/>
          <w:szCs w:val="24"/>
        </w:rPr>
        <w:tab/>
      </w:r>
      <w:r w:rsidRPr="0000722E">
        <w:rPr>
          <w:rFonts w:ascii="Times New Roman" w:hAnsi="Times New Roman" w:cs="Times New Roman"/>
          <w:sz w:val="24"/>
          <w:szCs w:val="24"/>
        </w:rPr>
        <w:tab/>
      </w:r>
      <w:r w:rsidRPr="0000722E">
        <w:rPr>
          <w:rFonts w:ascii="Times New Roman" w:hAnsi="Times New Roman" w:cs="Times New Roman"/>
          <w:sz w:val="24"/>
          <w:szCs w:val="24"/>
        </w:rPr>
        <w:tab/>
      </w:r>
      <w:r w:rsidRPr="0000722E">
        <w:rPr>
          <w:rFonts w:ascii="Times New Roman" w:hAnsi="Times New Roman" w:cs="Times New Roman"/>
          <w:sz w:val="24"/>
          <w:szCs w:val="24"/>
        </w:rPr>
        <w:tab/>
      </w:r>
      <w:r>
        <w:rPr>
          <w:rFonts w:ascii="Times New Roman" w:hAnsi="Times New Roman" w:cs="Times New Roman"/>
          <w:sz w:val="24"/>
        </w:rPr>
        <w:tab/>
      </w:r>
      <w:r>
        <w:rPr>
          <w:rFonts w:ascii="Times New Roman" w:hAnsi="Times New Roman" w:cs="Times New Roman"/>
          <w:sz w:val="24"/>
        </w:rPr>
        <w:tab/>
      </w:r>
    </w:p>
    <w:sectPr w:rsidR="002F47B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80053"/>
    <w:multiLevelType w:val="hybridMultilevel"/>
    <w:tmpl w:val="668EE3E6"/>
    <w:lvl w:ilvl="0" w:tplc="A58C74C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1F01C0"/>
    <w:multiLevelType w:val="hybridMultilevel"/>
    <w:tmpl w:val="056E9DA6"/>
    <w:lvl w:ilvl="0" w:tplc="9F7833F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6B46B2"/>
    <w:multiLevelType w:val="hybridMultilevel"/>
    <w:tmpl w:val="182486AA"/>
    <w:lvl w:ilvl="0" w:tplc="D72C53E0">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15:restartNumberingAfterBreak="0">
    <w:nsid w:val="3B8D42FF"/>
    <w:multiLevelType w:val="hybridMultilevel"/>
    <w:tmpl w:val="069863DA"/>
    <w:lvl w:ilvl="0" w:tplc="4928DFF2">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D2D"/>
    <w:rsid w:val="0000722E"/>
    <w:rsid w:val="00045DCC"/>
    <w:rsid w:val="00065733"/>
    <w:rsid w:val="000A2BDD"/>
    <w:rsid w:val="000C2BA0"/>
    <w:rsid w:val="000C3260"/>
    <w:rsid w:val="000C43F5"/>
    <w:rsid w:val="000D1920"/>
    <w:rsid w:val="00107D4F"/>
    <w:rsid w:val="00107DD5"/>
    <w:rsid w:val="0011317A"/>
    <w:rsid w:val="001256E2"/>
    <w:rsid w:val="00126FF2"/>
    <w:rsid w:val="001339FD"/>
    <w:rsid w:val="00133D2D"/>
    <w:rsid w:val="0014011D"/>
    <w:rsid w:val="00141BE7"/>
    <w:rsid w:val="001442E5"/>
    <w:rsid w:val="0014794C"/>
    <w:rsid w:val="00153975"/>
    <w:rsid w:val="00154CD7"/>
    <w:rsid w:val="001952B7"/>
    <w:rsid w:val="00197238"/>
    <w:rsid w:val="001E7340"/>
    <w:rsid w:val="001F37FC"/>
    <w:rsid w:val="00202E0F"/>
    <w:rsid w:val="00203AFD"/>
    <w:rsid w:val="002136CD"/>
    <w:rsid w:val="002450D1"/>
    <w:rsid w:val="00281B1F"/>
    <w:rsid w:val="00294F94"/>
    <w:rsid w:val="002A2761"/>
    <w:rsid w:val="002F47B2"/>
    <w:rsid w:val="00301819"/>
    <w:rsid w:val="00307575"/>
    <w:rsid w:val="003132E4"/>
    <w:rsid w:val="00324A16"/>
    <w:rsid w:val="00331182"/>
    <w:rsid w:val="00346359"/>
    <w:rsid w:val="00394C6E"/>
    <w:rsid w:val="003B244A"/>
    <w:rsid w:val="003B3A07"/>
    <w:rsid w:val="00426495"/>
    <w:rsid w:val="00437561"/>
    <w:rsid w:val="004559A4"/>
    <w:rsid w:val="0046194C"/>
    <w:rsid w:val="0047109C"/>
    <w:rsid w:val="00492337"/>
    <w:rsid w:val="004A616C"/>
    <w:rsid w:val="004B1DD3"/>
    <w:rsid w:val="004D52D7"/>
    <w:rsid w:val="00517A05"/>
    <w:rsid w:val="00583D3E"/>
    <w:rsid w:val="005945F0"/>
    <w:rsid w:val="005A4BE1"/>
    <w:rsid w:val="005B7CB0"/>
    <w:rsid w:val="005C1FC4"/>
    <w:rsid w:val="006008CF"/>
    <w:rsid w:val="00605718"/>
    <w:rsid w:val="00613C3E"/>
    <w:rsid w:val="00630F23"/>
    <w:rsid w:val="00633A3D"/>
    <w:rsid w:val="00633AF2"/>
    <w:rsid w:val="006544F5"/>
    <w:rsid w:val="006547A0"/>
    <w:rsid w:val="006640A4"/>
    <w:rsid w:val="00666806"/>
    <w:rsid w:val="00677435"/>
    <w:rsid w:val="006813ED"/>
    <w:rsid w:val="006F7368"/>
    <w:rsid w:val="006F7DB2"/>
    <w:rsid w:val="0070670A"/>
    <w:rsid w:val="00771CA3"/>
    <w:rsid w:val="00787F49"/>
    <w:rsid w:val="007A384B"/>
    <w:rsid w:val="007B20FB"/>
    <w:rsid w:val="007D6CBE"/>
    <w:rsid w:val="007E4473"/>
    <w:rsid w:val="008077E2"/>
    <w:rsid w:val="0082168D"/>
    <w:rsid w:val="00827564"/>
    <w:rsid w:val="008624B0"/>
    <w:rsid w:val="0088066C"/>
    <w:rsid w:val="008C1098"/>
    <w:rsid w:val="008D17CE"/>
    <w:rsid w:val="00935BFA"/>
    <w:rsid w:val="009727AC"/>
    <w:rsid w:val="009A3031"/>
    <w:rsid w:val="009B369E"/>
    <w:rsid w:val="009C59DE"/>
    <w:rsid w:val="00A00C17"/>
    <w:rsid w:val="00A035D0"/>
    <w:rsid w:val="00A21B25"/>
    <w:rsid w:val="00A22DAD"/>
    <w:rsid w:val="00A30D08"/>
    <w:rsid w:val="00A31D83"/>
    <w:rsid w:val="00A417BB"/>
    <w:rsid w:val="00A46CBB"/>
    <w:rsid w:val="00A67DAD"/>
    <w:rsid w:val="00A71F8F"/>
    <w:rsid w:val="00AC4025"/>
    <w:rsid w:val="00AD1BA9"/>
    <w:rsid w:val="00AE0D00"/>
    <w:rsid w:val="00AF7BB1"/>
    <w:rsid w:val="00B26CE2"/>
    <w:rsid w:val="00B34B55"/>
    <w:rsid w:val="00B4795A"/>
    <w:rsid w:val="00B63440"/>
    <w:rsid w:val="00B66DE6"/>
    <w:rsid w:val="00B67075"/>
    <w:rsid w:val="00B73041"/>
    <w:rsid w:val="00B7798A"/>
    <w:rsid w:val="00B814BE"/>
    <w:rsid w:val="00B8234D"/>
    <w:rsid w:val="00B87F58"/>
    <w:rsid w:val="00BC0674"/>
    <w:rsid w:val="00BC60C2"/>
    <w:rsid w:val="00BC7A5C"/>
    <w:rsid w:val="00BD196D"/>
    <w:rsid w:val="00BE3AF6"/>
    <w:rsid w:val="00C01A03"/>
    <w:rsid w:val="00C13EA7"/>
    <w:rsid w:val="00C619CE"/>
    <w:rsid w:val="00CA269A"/>
    <w:rsid w:val="00CD5A77"/>
    <w:rsid w:val="00CD7193"/>
    <w:rsid w:val="00CE2C3F"/>
    <w:rsid w:val="00CF53B8"/>
    <w:rsid w:val="00D014E4"/>
    <w:rsid w:val="00D07C4A"/>
    <w:rsid w:val="00D10ECC"/>
    <w:rsid w:val="00D51791"/>
    <w:rsid w:val="00D624D2"/>
    <w:rsid w:val="00D64A33"/>
    <w:rsid w:val="00D92441"/>
    <w:rsid w:val="00DA6887"/>
    <w:rsid w:val="00DD0797"/>
    <w:rsid w:val="00DE1A54"/>
    <w:rsid w:val="00E26172"/>
    <w:rsid w:val="00E530BB"/>
    <w:rsid w:val="00E6763D"/>
    <w:rsid w:val="00E75A5D"/>
    <w:rsid w:val="00EA22CC"/>
    <w:rsid w:val="00EA22EE"/>
    <w:rsid w:val="00EC5504"/>
    <w:rsid w:val="00EC5934"/>
    <w:rsid w:val="00ED2995"/>
    <w:rsid w:val="00EE24E7"/>
    <w:rsid w:val="00F37009"/>
    <w:rsid w:val="00F47C0D"/>
    <w:rsid w:val="00F52E3D"/>
    <w:rsid w:val="00F7355F"/>
    <w:rsid w:val="00FA6DCB"/>
    <w:rsid w:val="00FE45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DD4E8C-6D1A-42ED-8E35-DE863A103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B369E"/>
    <w:pPr>
      <w:ind w:left="720"/>
      <w:contextualSpacing/>
    </w:pPr>
  </w:style>
  <w:style w:type="character" w:styleId="Collegamentoipertestuale">
    <w:name w:val="Hyperlink"/>
    <w:basedOn w:val="Carpredefinitoparagrafo"/>
    <w:uiPriority w:val="99"/>
    <w:unhideWhenUsed/>
    <w:rsid w:val="00107D4F"/>
    <w:rPr>
      <w:color w:val="0000FF" w:themeColor="hyperlink"/>
      <w:u w:val="single"/>
    </w:rPr>
  </w:style>
  <w:style w:type="paragraph" w:styleId="Testofumetto">
    <w:name w:val="Balloon Text"/>
    <w:basedOn w:val="Normale"/>
    <w:link w:val="TestofumettoCarattere"/>
    <w:uiPriority w:val="99"/>
    <w:semiHidden/>
    <w:unhideWhenUsed/>
    <w:rsid w:val="00F7355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735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95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793</Words>
  <Characters>4521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Gaetano Savona</dc:creator>
  <cp:lastModifiedBy>Giuseppe Amoroso</cp:lastModifiedBy>
  <cp:revision>12</cp:revision>
  <cp:lastPrinted>2021-06-28T13:36:00Z</cp:lastPrinted>
  <dcterms:created xsi:type="dcterms:W3CDTF">2021-06-29T09:56:00Z</dcterms:created>
  <dcterms:modified xsi:type="dcterms:W3CDTF">2021-07-01T08:30:00Z</dcterms:modified>
</cp:coreProperties>
</file>